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5" w:type="dxa"/>
        <w:tblInd w:w="-102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515"/>
        <w:gridCol w:w="1080"/>
        <w:gridCol w:w="1575"/>
        <w:gridCol w:w="1080"/>
        <w:gridCol w:w="19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  <w:t>互联网药品信息服务备案表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互联网药品信息服务单位名称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互联网药品信息服务申请类别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非经营性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企业统一社会信用代码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企业法定代表人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电话(区号)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网站主服务器所在地地址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网站主服务器域名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网站主服务器IP地址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网站其他服务器所在地地址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网站其他服务器域名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网站其他服务器IP地址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网站负责人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熟悉药品管理法律、法规和药品知识的人员情况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毕业学校/专业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上级单位或投资者名称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单位地址(详细填写)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电话(区号)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ˎ̥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非收费栏目和主要内容</w:t>
            </w: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收费栏目和主要内容</w:t>
            </w:r>
          </w:p>
        </w:tc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F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ˎ̥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填报日期：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MGZkYzViZGY3NTdjYzYxY2E1ZTY0MTNiZTBkYmEifQ=="/>
    <w:docVar w:name="KSO_WPS_MARK_KEY" w:val="1cc8445d-db44-403a-af15-54d8517dc9f1"/>
  </w:docVars>
  <w:rsids>
    <w:rsidRoot w:val="082252C7"/>
    <w:rsid w:val="082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2025-02-17T03:01:00Z</dcterms:created>
  <dc:creator>饼哥</dc:creator>
  <cp:lastModifiedBy>饼哥</cp:lastModifiedBy>
  <dcterms:modified xsi:type="dcterms:W3CDTF">2025-02-17T03:01:38Z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136F74988E954C6EA59606B8BF8A1A9F_11</vt:lpwstr>
  </property>
</Properties>
</file>