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</w:pPr>
    </w:p>
    <w:p>
      <w:pPr>
        <w:ind w:firstLine="480"/>
        <w:jc w:val="center"/>
      </w:pPr>
    </w:p>
    <w:p>
      <w:pPr>
        <w:ind w:firstLine="480"/>
        <w:jc w:val="center"/>
      </w:pPr>
    </w:p>
    <w:p>
      <w:pPr>
        <w:jc w:val="center"/>
        <w:rPr>
          <w:rFonts w:hint="eastAsia"/>
          <w:b/>
          <w:spacing w:val="20"/>
          <w:kern w:val="10"/>
          <w:sz w:val="48"/>
          <w:szCs w:val="48"/>
        </w:rPr>
      </w:pPr>
    </w:p>
    <w:p>
      <w:pPr>
        <w:jc w:val="center"/>
        <w:rPr>
          <w:b/>
          <w:spacing w:val="20"/>
          <w:kern w:val="10"/>
          <w:sz w:val="48"/>
          <w:szCs w:val="48"/>
        </w:rPr>
      </w:pPr>
      <w:r>
        <w:rPr>
          <w:rFonts w:hint="eastAsia"/>
          <w:b/>
          <w:spacing w:val="20"/>
          <w:kern w:val="10"/>
          <w:sz w:val="48"/>
          <w:szCs w:val="48"/>
        </w:rPr>
        <w:t>***工程</w:t>
      </w:r>
    </w:p>
    <w:p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水土保持方案报告书</w:t>
      </w:r>
    </w:p>
    <w:p>
      <w:pPr>
        <w:jc w:val="center"/>
        <w:rPr>
          <w:b/>
          <w:spacing w:val="20"/>
          <w:kern w:val="10"/>
          <w:sz w:val="44"/>
          <w:szCs w:val="44"/>
        </w:rPr>
      </w:pPr>
      <w:r>
        <w:rPr>
          <w:rFonts w:hint="eastAsia"/>
          <w:b/>
          <w:spacing w:val="20"/>
          <w:kern w:val="10"/>
          <w:sz w:val="44"/>
          <w:szCs w:val="44"/>
        </w:rPr>
        <w:t>（送审稿）</w:t>
      </w:r>
    </w:p>
    <w:p>
      <w:pPr>
        <w:spacing w:line="420" w:lineRule="atLeast"/>
        <w:jc w:val="center"/>
        <w:rPr>
          <w:sz w:val="44"/>
        </w:rPr>
      </w:pPr>
    </w:p>
    <w:p>
      <w:pPr>
        <w:ind w:firstLine="720"/>
        <w:jc w:val="center"/>
        <w:rPr>
          <w:sz w:val="36"/>
        </w:rPr>
      </w:pPr>
    </w:p>
    <w:p>
      <w:pPr>
        <w:ind w:firstLine="720"/>
        <w:jc w:val="center"/>
        <w:rPr>
          <w:sz w:val="36"/>
        </w:rPr>
      </w:pPr>
    </w:p>
    <w:p>
      <w:pPr>
        <w:ind w:firstLine="720"/>
        <w:jc w:val="center"/>
        <w:rPr>
          <w:sz w:val="36"/>
        </w:rPr>
      </w:pPr>
    </w:p>
    <w:p>
      <w:pPr>
        <w:ind w:firstLine="720"/>
        <w:jc w:val="center"/>
        <w:rPr>
          <w:sz w:val="36"/>
        </w:rPr>
      </w:pPr>
    </w:p>
    <w:p>
      <w:pPr>
        <w:ind w:firstLine="720"/>
        <w:jc w:val="center"/>
        <w:rPr>
          <w:sz w:val="36"/>
        </w:rPr>
      </w:pPr>
    </w:p>
    <w:p>
      <w:pPr>
        <w:ind w:firstLine="720"/>
        <w:jc w:val="center"/>
        <w:rPr>
          <w:sz w:val="36"/>
        </w:rPr>
      </w:pPr>
    </w:p>
    <w:p>
      <w:pPr>
        <w:ind w:firstLine="720"/>
        <w:jc w:val="center"/>
        <w:rPr>
          <w:sz w:val="36"/>
        </w:rPr>
      </w:pPr>
    </w:p>
    <w:p>
      <w:pPr>
        <w:ind w:firstLine="720"/>
        <w:jc w:val="center"/>
        <w:rPr>
          <w:sz w:val="36"/>
        </w:rPr>
      </w:pPr>
    </w:p>
    <w:p>
      <w:pPr>
        <w:spacing w:after="240"/>
        <w:ind w:firstLine="480"/>
      </w:pPr>
    </w:p>
    <w:tbl>
      <w:tblPr>
        <w:tblStyle w:val="8"/>
        <w:tblW w:w="7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5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67" w:type="dxa"/>
            <w:vAlign w:val="center"/>
          </w:tcPr>
          <w:p>
            <w:pPr>
              <w:pStyle w:val="1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建设单位：</w:t>
            </w:r>
          </w:p>
        </w:tc>
        <w:tc>
          <w:tcPr>
            <w:tcW w:w="5417" w:type="dxa"/>
            <w:vAlign w:val="center"/>
          </w:tcPr>
          <w:p>
            <w:pPr>
              <w:pStyle w:val="11"/>
              <w:spacing w:line="240" w:lineRule="auto"/>
              <w:rPr>
                <w:b/>
                <w:spacing w:val="82"/>
                <w:sz w:val="32"/>
                <w:szCs w:val="32"/>
              </w:rPr>
            </w:pPr>
            <w:r>
              <w:rPr>
                <w:rFonts w:hint="eastAsia"/>
                <w:b/>
                <w:spacing w:val="82"/>
                <w:sz w:val="32"/>
                <w:szCs w:val="32"/>
              </w:rPr>
              <w:t>***建设单位（签章）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367" w:type="dxa"/>
            <w:vAlign w:val="center"/>
          </w:tcPr>
          <w:p>
            <w:pPr>
              <w:pStyle w:val="11"/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编制单位：</w:t>
            </w:r>
          </w:p>
        </w:tc>
        <w:tc>
          <w:tcPr>
            <w:tcW w:w="5417" w:type="dxa"/>
            <w:vAlign w:val="center"/>
          </w:tcPr>
          <w:p>
            <w:pPr>
              <w:pStyle w:val="11"/>
              <w:spacing w:line="240" w:lineRule="auto"/>
              <w:rPr>
                <w:rFonts w:hint="eastAsia"/>
                <w:b/>
                <w:spacing w:val="82"/>
                <w:sz w:val="32"/>
                <w:szCs w:val="32"/>
              </w:rPr>
            </w:pPr>
            <w:r>
              <w:rPr>
                <w:rFonts w:hint="eastAsia"/>
                <w:b/>
                <w:spacing w:val="82"/>
                <w:sz w:val="32"/>
                <w:szCs w:val="32"/>
              </w:rPr>
              <w:t>***设计单位（签章）</w:t>
            </w:r>
          </w:p>
        </w:tc>
      </w:tr>
    </w:tbl>
    <w:p>
      <w:pPr>
        <w:spacing w:beforeLines="50" w:line="240" w:lineRule="atLeast"/>
        <w:jc w:val="center"/>
        <w:rPr>
          <w:sz w:val="36"/>
        </w:rPr>
      </w:pPr>
    </w:p>
    <w:p>
      <w:pPr>
        <w:spacing w:beforeLines="50" w:line="240" w:lineRule="atLeast"/>
        <w:jc w:val="center"/>
        <w:rPr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</w:rPr>
        <w:t>*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*</w:t>
      </w:r>
      <w:r>
        <w:rPr>
          <w:sz w:val="32"/>
          <w:szCs w:val="32"/>
        </w:rPr>
        <w:t xml:space="preserve">月 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" w:eastAsia="zh-CN"/>
        </w:rPr>
        <w:t>目录</w:t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TOC \o "1-2" \h \u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_Toc1003108532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  综合说明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_Toc821390083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项目简况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_Toc435922173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1.2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编制依据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_Toc627516411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设计水平年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_Toc655347371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1.4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水土流失防治责任范围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_Toc830454780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1.5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水土流失防治目标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_Toc1042952808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1.6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项目水土保持评价结论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_Toc730105995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1.7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水土流失预测结果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_Toc390451790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1.8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水土保持措施布设成果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_Toc534225544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1.9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水土保持监测方案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_Toc1071776663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1.10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水土保持投资及效益分析成果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_Toc1591153953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1.11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结论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_Toc989327027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　项目概况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_Toc1096939134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2.1</w:t>
      </w:r>
      <w:r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 项目组成及工程布置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_Toc1039165058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2.2 </w:t>
      </w:r>
      <w:r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施工组织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_Toc80850065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2.3 </w:t>
      </w:r>
      <w:r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工程占地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_Toc1556686768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2.4</w:t>
      </w:r>
      <w:r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 土石方平衡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default"/>
          <w:sz w:val="24"/>
          <w:szCs w:val="24"/>
          <w:lang w:val="en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_Toc1380220194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2.5 </w:t>
      </w:r>
      <w:r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拆迁（移民）安置与专项设施改（迁）建</w:t>
      </w:r>
      <w:r>
        <w:rPr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fldChar w:fldCharType="end"/>
      </w:r>
      <w:r>
        <w:rPr>
          <w:rFonts w:hint="default" w:ascii="黑体" w:hAnsi="黑体" w:eastAsia="黑体"/>
          <w:sz w:val="24"/>
          <w:szCs w:val="24"/>
          <w:lang w:val="en"/>
        </w:rPr>
        <w:t>*</w:t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_Toc1382795367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2.6 </w:t>
      </w:r>
      <w:r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施工进度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_Toc2110381329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2.7</w:t>
      </w:r>
      <w:r>
        <w:rPr>
          <w:rFonts w:hint="default" w:ascii="仿宋_GB2312" w:hAnsi="仿宋_GB2312" w:eastAsia="仿宋_GB2312" w:cs="仿宋_GB2312"/>
          <w:bCs/>
          <w:kern w:val="0"/>
          <w:sz w:val="24"/>
          <w:szCs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 自然概况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_Toc258062753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3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项目水土保持评价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_Toc83937810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3.1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主体工程选址（线）水土保持评价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_Toc1281194723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3.2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建设方案与布局水土保持评价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_Toc534594957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3.3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主体工程设计中水土保持措施界定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_Toc531338792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4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水土流失分析与预测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_Toc742431313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4.1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水土流失现状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_Toc889753706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4.2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水土流失影响因素分析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_Toc1941875385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4.3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土壤流失量预测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_Toc1052036310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4.4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水土流失危害分析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_Toc1053863079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4.5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指导性意见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/>
          <w:sz w:val="24"/>
          <w:szCs w:val="24"/>
          <w:lang w:val="en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_Toc1228142693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5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水土保持措施</w:t>
      </w:r>
      <w:r>
        <w:rPr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fldChar w:fldCharType="end"/>
      </w:r>
      <w:r>
        <w:rPr>
          <w:rFonts w:hint="default" w:ascii="黑体" w:hAnsi="黑体" w:eastAsia="黑体"/>
          <w:sz w:val="24"/>
          <w:szCs w:val="24"/>
          <w:lang w:val="en"/>
        </w:rPr>
        <w:t>*</w:t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_Toc2055144842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5.1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防治区划分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_Toc1875253162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5.2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措施总体布局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_Toc1664064866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5.3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分区措施布设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_Toc535177606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5.4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施工要求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_Toc383116885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6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水土保持监测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_Toc347035998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6.1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范围和时段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_Toc1578130414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6.2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内容和方法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_Toc1113222880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6.3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点位布设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_Toc737487788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6.4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实施条件和成果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_Toc2112355959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7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水土保持投资估算及效益分析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_Toc37515895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7.1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投资估算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default"/>
          <w:sz w:val="24"/>
          <w:szCs w:val="24"/>
          <w:lang w:val="en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_Toc181158094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7.2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效益分析</w:t>
      </w:r>
      <w:r>
        <w:rPr>
          <w:sz w:val="24"/>
          <w:szCs w:val="24"/>
        </w:rPr>
        <w:tab/>
      </w:r>
      <w:r>
        <w:rPr>
          <w:rFonts w:hint="eastAsia" w:ascii="黑体" w:hAnsi="黑体" w:eastAsia="黑体"/>
          <w:sz w:val="24"/>
          <w:szCs w:val="24"/>
        </w:rPr>
        <w:fldChar w:fldCharType="end"/>
      </w:r>
      <w:r>
        <w:rPr>
          <w:rFonts w:hint="default" w:ascii="黑体" w:hAnsi="黑体" w:eastAsia="黑体"/>
          <w:sz w:val="24"/>
          <w:szCs w:val="24"/>
          <w:lang w:val="en"/>
        </w:rPr>
        <w:t>*</w:t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_Toc954199338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8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水土保持管理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_Toc1134455029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8.1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组织管理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_Toc1220323152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8.2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后续设计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_Toc1035049403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8.3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水土保持监测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_Toc543658149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8.4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水土保持监理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_Toc453059699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8.5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水土保持施工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default"/>
          <w:sz w:val="24"/>
          <w:szCs w:val="24"/>
          <w:lang w:val="en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_Toc270361122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 xml:space="preserve">8.6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水土保持设施验收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_Toc506555831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附表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_Toc711122452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附件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pStyle w:val="6"/>
        <w:tabs>
          <w:tab w:val="right" w:leader="dot" w:pos="8306"/>
        </w:tabs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begin"/>
      </w:r>
      <w:r>
        <w:rPr>
          <w:rFonts w:hint="eastAsia" w:ascii="黑体" w:hAnsi="黑体" w:eastAsia="黑体"/>
          <w:sz w:val="24"/>
          <w:szCs w:val="24"/>
        </w:rPr>
        <w:instrText xml:space="preserve"> HYPERLINK \l _Toc354298932 </w:instrText>
      </w:r>
      <w:r>
        <w:rPr>
          <w:rFonts w:hint="eastAsia" w:ascii="黑体" w:hAnsi="黑体" w:eastAsia="黑体"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附图</w:t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en"/>
        </w:rPr>
        <w:t>*</w:t>
      </w:r>
      <w:r>
        <w:rPr>
          <w:rFonts w:hint="eastAsia" w:ascii="黑体" w:hAnsi="黑体" w:eastAsia="黑体"/>
          <w:sz w:val="24"/>
          <w:szCs w:val="24"/>
        </w:rPr>
        <w:fldChar w:fldCharType="end"/>
      </w:r>
    </w:p>
    <w:p>
      <w:pPr>
        <w:spacing w:line="600" w:lineRule="exact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fldChar w:fldCharType="end"/>
      </w:r>
      <w:bookmarkStart w:id="0" w:name="_Toc1899404325"/>
      <w:bookmarkStart w:id="1" w:name="_Toc1003108532"/>
      <w:bookmarkStart w:id="2" w:name="_Toc203866235"/>
      <w:bookmarkStart w:id="3" w:name="_Toc114143829"/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br w:type="page"/>
      </w:r>
    </w:p>
    <w:p>
      <w:pPr>
        <w:pStyle w:val="3"/>
        <w:snapToGrid w:val="0"/>
        <w:spacing w:line="360" w:lineRule="auto"/>
        <w:ind w:firstLine="0" w:firstLineChars="0"/>
        <w:jc w:val="center"/>
        <w:outlineLvl w:val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生产建设项目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水土保持方案示范文本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1  综合说明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4" w:name="_Toc821390083"/>
      <w:bookmarkStart w:id="5" w:name="_Toc149383258"/>
      <w:r>
        <w:rPr>
          <w:rFonts w:hint="eastAsia" w:ascii="仿宋_GB2312" w:hAnsi="仿宋_GB2312" w:eastAsia="仿宋_GB2312" w:cs="仿宋_GB2312"/>
          <w:bCs/>
          <w:kern w:val="0"/>
          <w:sz w:val="24"/>
        </w:rPr>
        <w:t>1.1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项目简况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6" w:name="_Toc428325580"/>
      <w:bookmarkStart w:id="7" w:name="_Toc2043330530"/>
      <w:bookmarkStart w:id="8" w:name="_Toc883331898"/>
      <w:bookmarkStart w:id="9" w:name="_Toc1458781126"/>
      <w:bookmarkStart w:id="10" w:name="_Toc1463243454"/>
      <w:bookmarkStart w:id="11" w:name="_Toc1843918828"/>
      <w:r>
        <w:rPr>
          <w:rFonts w:hint="eastAsia" w:ascii="仿宋_GB2312" w:hAnsi="仿宋_GB2312" w:eastAsia="仿宋_GB2312" w:cs="仿宋_GB2312"/>
          <w:bCs/>
          <w:kern w:val="0"/>
          <w:sz w:val="24"/>
        </w:rPr>
        <w:t>1.1.1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项目基本情况</w:t>
      </w:r>
      <w:bookmarkEnd w:id="6"/>
      <w:bookmarkEnd w:id="7"/>
      <w:bookmarkEnd w:id="8"/>
      <w:bookmarkEnd w:id="9"/>
      <w:bookmarkEnd w:id="10"/>
      <w:bookmarkEnd w:id="11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简述项目建设必要性、项目位置（点型工程介绍到乡级、线型工程介绍到县级）、建设性质、规模与等级、项目组成、拆迁（移民）数量及安置方式、专项设施改（迁）建、开工与完工时间、总工期、总投资与土建投资等，明确工程占地面积、土石方“挖、填、借、余（弃）”量、取土（石、砂）场和弃土（渣、灰、矸石、尾矿）场数量。矿山工程尚应明确地质储量、首采区位置、服务年限、生产期年排弃渣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" w:name="_Toc1274257736"/>
      <w:bookmarkStart w:id="13" w:name="_Toc884924133"/>
      <w:bookmarkStart w:id="14" w:name="_Toc291865479"/>
      <w:bookmarkStart w:id="15" w:name="_Toc668083121"/>
      <w:bookmarkStart w:id="16" w:name="_Toc1272585610"/>
      <w:bookmarkStart w:id="17" w:name="_Toc1035137114"/>
      <w:r>
        <w:rPr>
          <w:rFonts w:hint="eastAsia" w:ascii="仿宋_GB2312" w:hAnsi="仿宋_GB2312" w:eastAsia="仿宋_GB2312" w:cs="仿宋_GB2312"/>
          <w:bCs/>
          <w:kern w:val="0"/>
          <w:sz w:val="24"/>
        </w:rPr>
        <w:t>1.1.2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项目前期工作进展情况</w:t>
      </w:r>
      <w:bookmarkEnd w:id="12"/>
      <w:bookmarkEnd w:id="13"/>
      <w:bookmarkEnd w:id="14"/>
      <w:bookmarkEnd w:id="15"/>
      <w:bookmarkEnd w:id="16"/>
      <w:bookmarkEnd w:id="17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简述项目工程设计情况和方案编制过程。已开工项目补报水土保持方案的，应介绍项目进展情况。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8" w:name="_Toc109500114"/>
      <w:bookmarkStart w:id="19" w:name="_Toc228103677"/>
      <w:bookmarkStart w:id="20" w:name="_Toc87200268"/>
      <w:bookmarkStart w:id="21" w:name="_Toc1212467809"/>
      <w:bookmarkStart w:id="22" w:name="_Toc1874544851"/>
      <w:bookmarkStart w:id="23" w:name="_Toc1449336939"/>
      <w:r>
        <w:rPr>
          <w:rFonts w:hint="eastAsia" w:ascii="仿宋_GB2312" w:hAnsi="仿宋_GB2312" w:eastAsia="仿宋_GB2312" w:cs="仿宋_GB2312"/>
          <w:bCs/>
          <w:kern w:val="0"/>
          <w:sz w:val="24"/>
        </w:rPr>
        <w:t>1.1.3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自然简况</w:t>
      </w:r>
      <w:bookmarkEnd w:id="18"/>
      <w:bookmarkEnd w:id="19"/>
      <w:bookmarkEnd w:id="20"/>
      <w:bookmarkEnd w:id="21"/>
      <w:bookmarkEnd w:id="22"/>
      <w:bookmarkEnd w:id="2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简述项目区地貌类型、气候类型与主要气象要素、土壤类型、林草植被类型与覆盖率、水土保持区及容许土壤流失量、土壤侵蚀类型及强度、水土流失重点防治区、涉及水土保持敏感区情况。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24" w:name="_Toc435922173"/>
      <w:bookmarkStart w:id="25" w:name="_Toc333551489"/>
      <w:bookmarkStart w:id="26" w:name="_Toc42830577"/>
      <w:bookmarkStart w:id="27" w:name="_Toc206061255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1.2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编制依据</w:t>
      </w:r>
      <w:bookmarkEnd w:id="24"/>
      <w:bookmarkEnd w:id="25"/>
      <w:bookmarkEnd w:id="26"/>
      <w:bookmarkEnd w:id="27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列出编制水土保持方案所依据的主要水土保持法律法规、技术标准以及技术资料。其他所涉及的相关法律法规、规范性文件、技术标准在报告书相应位置说明。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28" w:name="_Toc596003053"/>
      <w:bookmarkStart w:id="29" w:name="_Toc1432530568"/>
      <w:bookmarkStart w:id="30" w:name="_Toc627516411"/>
      <w:bookmarkStart w:id="31" w:name="_Toc21567002"/>
      <w:r>
        <w:rPr>
          <w:rFonts w:hint="eastAsia" w:ascii="仿宋_GB2312" w:hAnsi="仿宋_GB2312" w:eastAsia="仿宋_GB2312" w:cs="仿宋_GB2312"/>
          <w:bCs/>
          <w:kern w:val="0"/>
          <w:sz w:val="24"/>
        </w:rPr>
        <w:t>1.3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设计水平年</w:t>
      </w:r>
      <w:bookmarkEnd w:id="28"/>
      <w:bookmarkEnd w:id="29"/>
      <w:bookmarkEnd w:id="30"/>
      <w:bookmarkEnd w:id="31"/>
    </w:p>
    <w:p>
      <w:pPr>
        <w:adjustRightInd w:val="0"/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设计水平年应为主体工程完工后的当年或后一年，根据主体工程完工时间和水土保持措施实施进度安排等综合确定</w:t>
      </w:r>
      <w:r>
        <w:rPr>
          <w:rFonts w:hint="eastAsia" w:ascii="仿宋_GB2312" w:hAnsi="仿宋_GB2312" w:eastAsia="仿宋_GB2312" w:cs="仿宋_GB2312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32" w:name="_Toc655347371"/>
      <w:bookmarkStart w:id="33" w:name="_Toc1768641877"/>
      <w:bookmarkStart w:id="34" w:name="_Toc304759266"/>
      <w:bookmarkStart w:id="35" w:name="_Toc1834551238"/>
      <w:r>
        <w:rPr>
          <w:rFonts w:hint="eastAsia" w:ascii="仿宋_GB2312" w:hAnsi="仿宋_GB2312" w:eastAsia="仿宋_GB2312" w:cs="仿宋_GB2312"/>
          <w:bCs/>
          <w:kern w:val="0"/>
          <w:sz w:val="24"/>
        </w:rPr>
        <w:t>1.4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水土流失防治责任范围</w:t>
      </w:r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57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水土流失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防治责任范围应包括项目永久征地、临时占地（含租赁土地）以及其他使用与管辖区域，</w:t>
      </w:r>
      <w:r>
        <w:rPr>
          <w:rFonts w:hint="eastAsia" w:ascii="仿宋_GB2312" w:hAnsi="仿宋_GB2312" w:eastAsia="仿宋_GB2312" w:cs="仿宋_GB2312"/>
          <w:bCs/>
          <w:sz w:val="24"/>
        </w:rPr>
        <w:t>按县级行政区确定防治责任范围及面积（对跨县级以上行政区的项目，报告书后应附防治责任范围表）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36" w:name="_Toc1805492475"/>
      <w:bookmarkStart w:id="37" w:name="_Toc1271576089"/>
      <w:bookmarkStart w:id="38" w:name="_Toc1635517151"/>
      <w:bookmarkStart w:id="39" w:name="_Toc830454780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1.5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水土流失防治目标</w:t>
      </w:r>
      <w:bookmarkEnd w:id="36"/>
      <w:bookmarkEnd w:id="37"/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40" w:name="_Toc2133293118"/>
      <w:bookmarkStart w:id="41" w:name="_Toc855238359"/>
      <w:bookmarkStart w:id="42" w:name="_Toc2037133032"/>
      <w:bookmarkStart w:id="43" w:name="_Toc118259230"/>
      <w:bookmarkStart w:id="44" w:name="_Toc904028566"/>
      <w:r>
        <w:rPr>
          <w:rFonts w:hint="eastAsia" w:ascii="仿宋_GB2312" w:hAnsi="仿宋_GB2312" w:eastAsia="仿宋_GB2312" w:cs="仿宋_GB2312"/>
          <w:bCs/>
          <w:kern w:val="0"/>
          <w:sz w:val="24"/>
        </w:rPr>
        <w:t>1.5.1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执行标准等级</w:t>
      </w:r>
      <w:bookmarkEnd w:id="40"/>
      <w:bookmarkEnd w:id="41"/>
      <w:bookmarkEnd w:id="42"/>
      <w:bookmarkEnd w:id="43"/>
      <w:bookmarkEnd w:id="44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确定项目水土流失防治标准执行等级。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212" w:name="_GoBack"/>
      <w:bookmarkEnd w:id="212"/>
      <w:bookmarkStart w:id="45" w:name="_Toc565773642"/>
      <w:bookmarkStart w:id="46" w:name="_Toc1152362352"/>
      <w:bookmarkStart w:id="47" w:name="_Toc375449795"/>
      <w:bookmarkStart w:id="48" w:name="_Toc2003605830"/>
      <w:bookmarkStart w:id="49" w:name="_Toc1525513291"/>
      <w:r>
        <w:rPr>
          <w:rFonts w:hint="eastAsia" w:ascii="仿宋_GB2312" w:hAnsi="仿宋_GB2312" w:eastAsia="仿宋_GB2312" w:cs="仿宋_GB2312"/>
          <w:bCs/>
          <w:kern w:val="0"/>
          <w:sz w:val="24"/>
        </w:rPr>
        <w:t>1.5.2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防治目标</w:t>
      </w:r>
      <w:bookmarkEnd w:id="45"/>
      <w:bookmarkEnd w:id="46"/>
      <w:bookmarkEnd w:id="47"/>
      <w:bookmarkEnd w:id="48"/>
      <w:bookmarkEnd w:id="49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明确水土流失防治目标。线型工程有分段标准时应确定分段指标值和综合指标值（对涉及区域较大项目，报告书后应附防治标准指标计算表）。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50" w:name="_Toc714797719"/>
      <w:bookmarkStart w:id="51" w:name="_Toc886261436"/>
      <w:bookmarkStart w:id="52" w:name="_Toc630135623"/>
      <w:bookmarkStart w:id="53" w:name="_Toc1042952808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1.6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项目水土保持评价结论</w:t>
      </w:r>
      <w:bookmarkEnd w:id="50"/>
      <w:bookmarkEnd w:id="51"/>
      <w:bookmarkEnd w:id="52"/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54" w:name="_Toc1030363401"/>
      <w:bookmarkStart w:id="55" w:name="_Toc1641051596"/>
      <w:bookmarkStart w:id="56" w:name="_Toc430208155"/>
      <w:bookmarkStart w:id="57" w:name="_Toc210194826"/>
      <w:bookmarkStart w:id="58" w:name="_Toc64715111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1.6.1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主体工程选址（线）评价</w:t>
      </w:r>
      <w:bookmarkEnd w:id="54"/>
      <w:bookmarkEnd w:id="55"/>
      <w:bookmarkEnd w:id="56"/>
      <w:bookmarkEnd w:id="57"/>
      <w:bookmarkEnd w:id="58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简述从水土保持角度对主体工程选址（线）的评价结论。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59" w:name="_Toc456915533"/>
      <w:bookmarkStart w:id="60" w:name="_Toc1611809998"/>
      <w:bookmarkStart w:id="61" w:name="_Toc1415480906"/>
      <w:bookmarkStart w:id="62" w:name="_Toc2145785691"/>
      <w:bookmarkStart w:id="63" w:name="_Toc1499414242"/>
      <w:r>
        <w:rPr>
          <w:rFonts w:hint="eastAsia" w:ascii="仿宋_GB2312" w:hAnsi="仿宋_GB2312" w:eastAsia="仿宋_GB2312" w:cs="仿宋_GB2312"/>
          <w:bCs/>
          <w:kern w:val="0"/>
          <w:sz w:val="24"/>
        </w:rPr>
        <w:t>1.6.2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建设方案与布局评价</w:t>
      </w:r>
      <w:bookmarkEnd w:id="59"/>
      <w:bookmarkEnd w:id="60"/>
      <w:bookmarkEnd w:id="61"/>
      <w:bookmarkEnd w:id="62"/>
      <w:bookmarkEnd w:id="63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简述从水土保持角度对建设方案、工程占地、土石方平衡、取土（石、砂）场设置、弃土（渣、灰、矸石、尾矿）场设置、施工方法与工艺、具有水土保持功能工程的评价结论。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64" w:name="_Toc730105995"/>
      <w:bookmarkStart w:id="65" w:name="_Toc1570400830"/>
      <w:bookmarkStart w:id="66" w:name="_Toc1866897297"/>
      <w:bookmarkStart w:id="67" w:name="_Toc861543138"/>
      <w:r>
        <w:rPr>
          <w:rFonts w:hint="eastAsia" w:ascii="仿宋_GB2312" w:hAnsi="仿宋_GB2312" w:eastAsia="仿宋_GB2312" w:cs="仿宋_GB2312"/>
          <w:bCs/>
          <w:kern w:val="0"/>
          <w:sz w:val="24"/>
        </w:rPr>
        <w:t>1.7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水土流失预测结果</w:t>
      </w:r>
      <w:bookmarkEnd w:id="64"/>
      <w:bookmarkEnd w:id="65"/>
      <w:bookmarkEnd w:id="66"/>
      <w:bookmarkEnd w:id="67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简述可能造成土壤流失总量、新增土壤流失量、产生水土流失的重点部位、水土流失主要危害。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68" w:name="_Toc698278499"/>
      <w:bookmarkStart w:id="69" w:name="_Toc1749810537"/>
      <w:bookmarkStart w:id="70" w:name="_Toc1431612506"/>
      <w:bookmarkStart w:id="71" w:name="_Toc390451790"/>
      <w:r>
        <w:rPr>
          <w:rFonts w:hint="eastAsia" w:ascii="仿宋_GB2312" w:hAnsi="仿宋_GB2312" w:eastAsia="仿宋_GB2312" w:cs="仿宋_GB2312"/>
          <w:bCs/>
          <w:kern w:val="0"/>
          <w:sz w:val="24"/>
        </w:rPr>
        <w:t>1.8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水土保持措施布设成果</w:t>
      </w:r>
      <w:bookmarkEnd w:id="68"/>
      <w:bookmarkEnd w:id="69"/>
      <w:bookmarkEnd w:id="70"/>
      <w:bookmarkEnd w:id="71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简述各防治区措施布设情况。工程措施应明确措施名称、结构形式、布设位置、实施时段，植物措施应明确植物类型、布设位置、实施时段，临时措施应明确措施名称、布设位置、实施时段。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明确项目水土保持措施主要工程量。植物措施统计面积，工程措施统计拦挡措施的体积、排水措施长度、边坡防护面积、土地整治面积、表土剥离数量，临时措施统计临时拦挡、排水数量及苫盖面积等。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72" w:name="_Toc337000448"/>
      <w:bookmarkStart w:id="73" w:name="_Toc469287816"/>
      <w:bookmarkStart w:id="74" w:name="_Toc1273824981"/>
      <w:bookmarkStart w:id="75" w:name="_Toc534225544"/>
      <w:r>
        <w:rPr>
          <w:rFonts w:hint="eastAsia" w:ascii="仿宋_GB2312" w:hAnsi="仿宋_GB2312" w:eastAsia="仿宋_GB2312" w:cs="仿宋_GB2312"/>
          <w:bCs/>
          <w:kern w:val="0"/>
          <w:sz w:val="24"/>
        </w:rPr>
        <w:t>1.9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 水土保持监测方案</w:t>
      </w:r>
      <w:bookmarkEnd w:id="72"/>
      <w:bookmarkEnd w:id="73"/>
      <w:bookmarkEnd w:id="74"/>
      <w:bookmarkEnd w:id="75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简述水土保持监测内容、时段、方法和点位布设情况。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76" w:name="_Toc1261699958"/>
      <w:bookmarkStart w:id="77" w:name="_Toc1071776663"/>
      <w:bookmarkStart w:id="78" w:name="_Toc145227034"/>
      <w:bookmarkStart w:id="79" w:name="_Toc1175768030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1.10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水土保持投资及效益分析成果</w:t>
      </w:r>
      <w:bookmarkEnd w:id="76"/>
      <w:bookmarkEnd w:id="77"/>
      <w:bookmarkEnd w:id="78"/>
      <w:bookmarkEnd w:id="79"/>
    </w:p>
    <w:p>
      <w:pPr>
        <w:adjustRightInd w:val="0"/>
        <w:snapToGrid w:val="0"/>
        <w:spacing w:line="360" w:lineRule="auto"/>
        <w:ind w:firstLine="360" w:firstLineChars="15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简述水土保持总投资和工程措施投资、植物措施投资、临时措施投资、独立费用（含水土保持监测费、水土保持监理费）、水土保持补偿费。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简述方案实施后防治指标的可能实现情况和可治理水土流失面积、林草植被建设面积、减少水土流失量。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80" w:name="_Toc634876990"/>
      <w:bookmarkStart w:id="81" w:name="_Toc1591153953"/>
      <w:bookmarkStart w:id="82" w:name="_Toc1397874832"/>
      <w:bookmarkStart w:id="83" w:name="_Toc1792679909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1.11 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结论</w:t>
      </w:r>
      <w:bookmarkEnd w:id="80"/>
      <w:bookmarkEnd w:id="81"/>
      <w:bookmarkEnd w:id="82"/>
      <w:bookmarkEnd w:id="83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明确项目建设从选址选线、建设方案、水土流失防治等方面是否符合水土保持法律法规、技术标准的规定，实施水土保持措施后是否能达到控制水土流失、保护生态环境的目的，从水土保持角度对工程设计、施工和建设管理提出的要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综合说明后应附水土保持方案特性表，格式内容要求见表1。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 水土保持方案特性表</w:t>
      </w:r>
    </w:p>
    <w:tbl>
      <w:tblPr>
        <w:tblStyle w:val="8"/>
        <w:tblW w:w="91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51"/>
        <w:gridCol w:w="1275"/>
        <w:gridCol w:w="1787"/>
        <w:gridCol w:w="339"/>
        <w:gridCol w:w="1192"/>
        <w:gridCol w:w="934"/>
        <w:gridCol w:w="597"/>
        <w:gridCol w:w="1529"/>
        <w:gridCol w:w="1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项目名称</w:t>
            </w:r>
          </w:p>
        </w:tc>
        <w:tc>
          <w:tcPr>
            <w:tcW w:w="30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流域管理机构</w:t>
            </w:r>
          </w:p>
        </w:tc>
        <w:tc>
          <w:tcPr>
            <w:tcW w:w="3062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涉及省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（市、区）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涉及地市或个数</w:t>
            </w: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涉及县或个数</w:t>
            </w:r>
          </w:p>
        </w:tc>
        <w:tc>
          <w:tcPr>
            <w:tcW w:w="15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项目规模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总投资(万元)</w:t>
            </w: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土建投资(万元)</w:t>
            </w:r>
          </w:p>
        </w:tc>
        <w:tc>
          <w:tcPr>
            <w:tcW w:w="15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动工时间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完工时间</w:t>
            </w: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设计水平年</w:t>
            </w:r>
          </w:p>
        </w:tc>
        <w:tc>
          <w:tcPr>
            <w:tcW w:w="15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工程占地（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hm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永久占地（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hm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临时占地（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hm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6" w:type="dxa"/>
            <w:gridSpan w:val="3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土石方量（万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挖方</w:t>
            </w: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填方</w:t>
            </w: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借方</w:t>
            </w:r>
          </w:p>
        </w:tc>
        <w:tc>
          <w:tcPr>
            <w:tcW w:w="15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6" w:type="dxa"/>
            <w:gridSpan w:val="3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6" w:type="dxa"/>
            <w:gridSpan w:val="3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重点防治区名称</w:t>
            </w:r>
          </w:p>
        </w:tc>
        <w:tc>
          <w:tcPr>
            <w:tcW w:w="638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地貌类型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水土保持区划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土壤侵蚀类型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土壤侵蚀强度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防治责任范围（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hm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容许土壤流失量〔t/km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·a〕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土壤流失预测总量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新增水土流失量(t)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水土流失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防治标准执行等级</w:t>
            </w:r>
          </w:p>
        </w:tc>
        <w:tc>
          <w:tcPr>
            <w:tcW w:w="6380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防治指标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水土流失总治理度(%)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土壤流失控制比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渣土防护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率(%)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表土保护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率(%)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林草植被恢复率(%)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林草覆盖率(%)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防治</w:t>
            </w:r>
          </w:p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措施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及工程量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防治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分区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工程措施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植物措施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85" w:hRule="atLeast"/>
          <w:jc w:val="center"/>
        </w:trPr>
        <w:tc>
          <w:tcPr>
            <w:tcW w:w="68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投资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(万元)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水土保持总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投资(万元)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独立费用（万元）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监理费(万元)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监测费（万元）</w:t>
            </w: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补偿费(万元)</w:t>
            </w:r>
          </w:p>
        </w:tc>
        <w:tc>
          <w:tcPr>
            <w:tcW w:w="15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方案编制单位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2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建设单位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2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法定代表人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2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地址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line="2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邮编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邮编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联系人及电话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联系人及电话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传真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传真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5" w:hRule="atLeast"/>
          <w:jc w:val="center"/>
        </w:trPr>
        <w:tc>
          <w:tcPr>
            <w:tcW w:w="2806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电子信箱</w:t>
            </w: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pStyle w:val="12"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电子信箱</w:t>
            </w:r>
          </w:p>
        </w:tc>
        <w:tc>
          <w:tcPr>
            <w:tcW w:w="212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00" w:lineRule="exact"/>
              <w:ind w:left="-105" w:leftChars="-50" w:right="-105" w:rightChars="-50" w:firstLine="360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84" w:name="_Toc894149080"/>
      <w:bookmarkStart w:id="85" w:name="_Toc989327027"/>
      <w:bookmarkStart w:id="86" w:name="_Toc386756853"/>
      <w:bookmarkStart w:id="87" w:name="_Toc381163113"/>
      <w:r>
        <w:rPr>
          <w:rFonts w:hint="eastAsia" w:ascii="仿宋_GB2312" w:hAnsi="仿宋_GB2312" w:eastAsia="仿宋_GB2312" w:cs="仿宋_GB2312"/>
          <w:bCs/>
          <w:kern w:val="0"/>
          <w:sz w:val="24"/>
        </w:rPr>
        <w:t>2</w:t>
      </w:r>
      <w:r>
        <w:rPr>
          <w:rFonts w:hint="eastAsia" w:ascii="仿宋_GB2312" w:hAnsi="仿宋_GB2312" w:eastAsia="仿宋_GB2312" w:cs="仿宋_GB2312"/>
          <w:bCs/>
          <w:sz w:val="24"/>
        </w:rPr>
        <w:t>　项目概况</w:t>
      </w:r>
      <w:bookmarkEnd w:id="84"/>
      <w:bookmarkEnd w:id="85"/>
      <w:bookmarkEnd w:id="86"/>
      <w:bookmarkEnd w:id="87"/>
      <w:r>
        <w:rPr>
          <w:rFonts w:hint="eastAsia" w:ascii="仿宋_GB2312" w:hAnsi="仿宋_GB2312" w:eastAsia="仿宋_GB2312" w:cs="仿宋_GB2312"/>
          <w:bCs/>
          <w:sz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88" w:name="_Toc801645213"/>
      <w:bookmarkStart w:id="89" w:name="_Toc1096939134"/>
      <w:bookmarkStart w:id="90" w:name="_Toc1687863833"/>
      <w:r>
        <w:rPr>
          <w:rFonts w:hint="eastAsia" w:ascii="仿宋_GB2312" w:hAnsi="仿宋_GB2312" w:eastAsia="仿宋_GB2312" w:cs="仿宋_GB2312"/>
          <w:bCs/>
          <w:kern w:val="0"/>
          <w:sz w:val="24"/>
        </w:rPr>
        <w:t>2.1</w:t>
      </w:r>
      <w:r>
        <w:rPr>
          <w:rFonts w:hint="default" w:ascii="仿宋_GB2312" w:hAnsi="仿宋_GB2312" w:eastAsia="仿宋_GB2312" w:cs="仿宋_GB2312"/>
          <w:bCs/>
          <w:kern w:val="0"/>
          <w:sz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项目组成及工程布置</w:t>
      </w:r>
      <w:bookmarkEnd w:id="88"/>
      <w:bookmarkEnd w:id="89"/>
      <w:bookmarkEnd w:id="9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项目组成及工程布置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应包括项目建设基本内容，单项工程的名称、建设规模、平面布置、竖向布置等，存在依托关系的项目，应调查依托工程相关情况；还应包括供电系统、给排水系统、通信系统、项目内外交通等情况，应</w:t>
      </w:r>
      <w:r>
        <w:rPr>
          <w:rFonts w:hint="eastAsia" w:ascii="仿宋_GB2312" w:hAnsi="仿宋_GB2312" w:eastAsia="仿宋_GB2312" w:cs="仿宋_GB2312"/>
          <w:bCs/>
          <w:sz w:val="24"/>
        </w:rPr>
        <w:t>符合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</w:t>
      </w:r>
      <w:r>
        <w:rPr>
          <w:rFonts w:hint="eastAsia" w:ascii="仿宋_GB2312" w:hAnsi="仿宋_GB2312" w:eastAsia="仿宋_GB2312" w:cs="仿宋_GB2312"/>
          <w:bCs/>
          <w:sz w:val="24"/>
        </w:rPr>
        <w:t>有关规定，并有项目组成及主要技术指标表。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91" w:name="_Toc1489996121"/>
      <w:bookmarkStart w:id="92" w:name="_Toc57345555"/>
      <w:bookmarkStart w:id="93" w:name="_Toc1039165058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2.2 </w:t>
      </w:r>
      <w:r>
        <w:rPr>
          <w:rFonts w:hint="default" w:ascii="仿宋_GB2312" w:hAnsi="仿宋_GB2312" w:eastAsia="仿宋_GB2312" w:cs="仿宋_GB2312"/>
          <w:bCs/>
          <w:kern w:val="0"/>
          <w:sz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施工组织</w:t>
      </w:r>
      <w:bookmarkEnd w:id="91"/>
      <w:bookmarkEnd w:id="92"/>
      <w:bookmarkEnd w:id="9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《生产建设项目水土保持技术标准》（GB50433-2018）有关要求</w:t>
      </w:r>
      <w:r>
        <w:rPr>
          <w:rFonts w:hint="eastAsia" w:ascii="仿宋_GB2312" w:hAnsi="仿宋_GB2312" w:eastAsia="仿宋_GB2312" w:cs="仿宋_GB2312"/>
          <w:bCs/>
          <w:sz w:val="24"/>
        </w:rPr>
        <w:t>编制，并符合标准有关规定。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94" w:name="_Toc2035876247"/>
      <w:bookmarkStart w:id="95" w:name="_Toc80850065"/>
      <w:bookmarkStart w:id="96" w:name="_Toc1776368870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2.3 </w:t>
      </w:r>
      <w:r>
        <w:rPr>
          <w:rFonts w:hint="default" w:ascii="仿宋_GB2312" w:hAnsi="仿宋_GB2312" w:eastAsia="仿宋_GB2312" w:cs="仿宋_GB2312"/>
          <w:bCs/>
          <w:kern w:val="0"/>
          <w:sz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工程占地</w:t>
      </w:r>
      <w:bookmarkEnd w:id="94"/>
      <w:bookmarkEnd w:id="95"/>
      <w:bookmarkEnd w:id="96"/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《生产建设项目水土保持技术标准》（GB50433-2018）有关要求</w:t>
      </w:r>
      <w:r>
        <w:rPr>
          <w:rFonts w:hint="eastAsia" w:ascii="仿宋_GB2312" w:hAnsi="仿宋_GB2312" w:eastAsia="仿宋_GB2312" w:cs="仿宋_GB2312"/>
          <w:bCs/>
          <w:sz w:val="24"/>
        </w:rPr>
        <w:t>编制，并符合标准有关规定。水土保持方案对工程占地有调整的应说明。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97" w:name="_Toc2094143096"/>
      <w:bookmarkStart w:id="98" w:name="_Toc1556686768"/>
      <w:bookmarkStart w:id="99" w:name="_Toc1538250700"/>
      <w:r>
        <w:rPr>
          <w:rFonts w:hint="eastAsia" w:ascii="仿宋_GB2312" w:hAnsi="仿宋_GB2312" w:eastAsia="仿宋_GB2312" w:cs="仿宋_GB2312"/>
          <w:bCs/>
          <w:kern w:val="0"/>
          <w:sz w:val="24"/>
        </w:rPr>
        <w:t>2.4</w:t>
      </w:r>
      <w:r>
        <w:rPr>
          <w:rFonts w:hint="default" w:ascii="仿宋_GB2312" w:hAnsi="仿宋_GB2312" w:eastAsia="仿宋_GB2312" w:cs="仿宋_GB2312"/>
          <w:bCs/>
          <w:kern w:val="0"/>
          <w:sz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土石方平衡</w:t>
      </w:r>
      <w:bookmarkEnd w:id="97"/>
      <w:bookmarkEnd w:id="98"/>
      <w:bookmarkEnd w:id="9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《生产建设项目水土保持技术标准》（GB50433-2018）有关要求</w:t>
      </w:r>
      <w:r>
        <w:rPr>
          <w:rFonts w:hint="eastAsia" w:ascii="仿宋_GB2312" w:hAnsi="仿宋_GB2312" w:eastAsia="仿宋_GB2312" w:cs="仿宋_GB2312"/>
          <w:bCs/>
          <w:sz w:val="24"/>
        </w:rPr>
        <w:t>编制，并符合标准有关规定。水土保持方案对工程土石量有调整的应说明。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本项目剩余表土应说明堆存、后续利用方案。工程余方应说明优先考虑综合利用情况，不能利用的应说明弃土和弃石（渣）数量和分类堆存方案。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00" w:name="_Toc1438152466"/>
      <w:bookmarkStart w:id="101" w:name="_Toc1055140344"/>
      <w:bookmarkStart w:id="102" w:name="_Toc1470615615"/>
      <w:bookmarkStart w:id="103" w:name="_Toc1380220194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2.5 </w:t>
      </w:r>
      <w:r>
        <w:rPr>
          <w:rFonts w:hint="default" w:ascii="仿宋_GB2312" w:hAnsi="仿宋_GB2312" w:eastAsia="仿宋_GB2312" w:cs="仿宋_GB2312"/>
          <w:bCs/>
          <w:kern w:val="0"/>
          <w:sz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4"/>
        </w:rPr>
        <w:t>拆迁（移民）安置与专项设施改（迁）建</w:t>
      </w:r>
      <w:bookmarkEnd w:id="100"/>
      <w:bookmarkEnd w:id="101"/>
      <w:bookmarkEnd w:id="102"/>
      <w:bookmarkEnd w:id="10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《生产建设项目水土保持技术标准》（GB50433-2018）有关要求</w:t>
      </w:r>
      <w:r>
        <w:rPr>
          <w:rFonts w:hint="eastAsia" w:ascii="仿宋_GB2312" w:hAnsi="仿宋_GB2312" w:eastAsia="仿宋_GB2312" w:cs="仿宋_GB2312"/>
          <w:bCs/>
          <w:sz w:val="24"/>
        </w:rPr>
        <w:t>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outlineLvl w:val="1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104" w:name="_Toc1382795367"/>
      <w:bookmarkStart w:id="105" w:name="_Toc600363531"/>
      <w:bookmarkStart w:id="106" w:name="_Toc1774761439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2.6 </w:t>
      </w:r>
      <w:r>
        <w:rPr>
          <w:rFonts w:hint="default" w:ascii="仿宋_GB2312" w:hAnsi="仿宋_GB2312" w:eastAsia="仿宋_GB2312" w:cs="仿宋_GB2312"/>
          <w:bCs/>
          <w:kern w:val="0"/>
          <w:sz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施工进度</w:t>
      </w:r>
      <w:bookmarkEnd w:id="104"/>
      <w:bookmarkEnd w:id="105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《生产建设项目水土保持技术标准》（GB50433-2018）有关要求</w:t>
      </w:r>
      <w:r>
        <w:rPr>
          <w:rFonts w:hint="eastAsia" w:ascii="仿宋_GB2312" w:hAnsi="仿宋_GB2312" w:eastAsia="仿宋_GB2312" w:cs="仿宋_GB2312"/>
          <w:bCs/>
          <w:sz w:val="24"/>
        </w:rPr>
        <w:t>编制。已开工项目补报水土保持方案的，应介绍施工进展情况。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107" w:name="_Toc552143268"/>
      <w:bookmarkStart w:id="108" w:name="_Toc2110381329"/>
      <w:r>
        <w:rPr>
          <w:rFonts w:hint="eastAsia" w:ascii="仿宋_GB2312" w:hAnsi="仿宋_GB2312" w:eastAsia="仿宋_GB2312" w:cs="仿宋_GB2312"/>
          <w:bCs/>
          <w:kern w:val="0"/>
          <w:sz w:val="24"/>
        </w:rPr>
        <w:t>2.7</w:t>
      </w:r>
      <w:r>
        <w:rPr>
          <w:rFonts w:hint="default" w:ascii="仿宋_GB2312" w:hAnsi="仿宋_GB2312" w:eastAsia="仿宋_GB2312" w:cs="仿宋_GB2312"/>
          <w:bCs/>
          <w:kern w:val="0"/>
          <w:sz w:val="24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自然概况</w:t>
      </w:r>
      <w:bookmarkEnd w:id="106"/>
      <w:bookmarkEnd w:id="107"/>
      <w:bookmarkEnd w:id="108"/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sz w:val="24"/>
        </w:rPr>
        <w:t>符合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109" w:name="_Toc258062753"/>
      <w:bookmarkStart w:id="110" w:name="_Toc203577600"/>
      <w:bookmarkStart w:id="111" w:name="_Toc539927756"/>
      <w:bookmarkStart w:id="112" w:name="_Toc529117720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3 </w:t>
      </w:r>
      <w:r>
        <w:rPr>
          <w:rFonts w:hint="eastAsia" w:ascii="仿宋_GB2312" w:hAnsi="仿宋_GB2312" w:eastAsia="仿宋_GB2312" w:cs="仿宋_GB2312"/>
          <w:bCs/>
          <w:sz w:val="24"/>
        </w:rPr>
        <w:t>项目水土保持评价</w:t>
      </w:r>
      <w:bookmarkEnd w:id="109"/>
      <w:bookmarkEnd w:id="110"/>
      <w:bookmarkEnd w:id="111"/>
      <w:bookmarkEnd w:id="1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13" w:name="_Toc83937810"/>
      <w:bookmarkStart w:id="114" w:name="_Toc1503420848"/>
      <w:bookmarkStart w:id="115" w:name="_Toc1187716515"/>
      <w:bookmarkStart w:id="116" w:name="_Toc948059664"/>
      <w:r>
        <w:rPr>
          <w:rFonts w:hint="eastAsia" w:ascii="仿宋_GB2312" w:hAnsi="仿宋_GB2312" w:eastAsia="仿宋_GB2312" w:cs="仿宋_GB2312"/>
          <w:bCs/>
          <w:kern w:val="0"/>
          <w:sz w:val="24"/>
        </w:rPr>
        <w:t>3.1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主体工程选址（线）水土保持评价</w:t>
      </w:r>
      <w:bookmarkEnd w:id="113"/>
      <w:bookmarkEnd w:id="114"/>
      <w:bookmarkEnd w:id="115"/>
      <w:bookmarkEnd w:id="1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根据水土保持法规、相关标准性文件和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规定进行评价，按标准相关要求提出评价结论。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17" w:name="_Toc336810948"/>
      <w:bookmarkStart w:id="118" w:name="_Toc827923185"/>
      <w:bookmarkStart w:id="119" w:name="_Toc1281194723"/>
      <w:bookmarkStart w:id="120" w:name="_Toc731124348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3.2 </w:t>
      </w:r>
      <w:r>
        <w:rPr>
          <w:rFonts w:hint="eastAsia" w:ascii="仿宋_GB2312" w:hAnsi="仿宋_GB2312" w:eastAsia="仿宋_GB2312" w:cs="仿宋_GB2312"/>
          <w:bCs/>
          <w:sz w:val="24"/>
        </w:rPr>
        <w:t>建设方案与布局水土保持评价</w:t>
      </w:r>
      <w:bookmarkEnd w:id="117"/>
      <w:bookmarkEnd w:id="118"/>
      <w:bookmarkEnd w:id="119"/>
      <w:bookmarkEnd w:id="1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1" w:name="_Toc1992947859"/>
      <w:r>
        <w:rPr>
          <w:rFonts w:hint="eastAsia" w:ascii="仿宋_GB2312" w:hAnsi="仿宋_GB2312" w:eastAsia="仿宋_GB2312" w:cs="仿宋_GB2312"/>
          <w:bCs/>
          <w:kern w:val="0"/>
          <w:sz w:val="24"/>
        </w:rPr>
        <w:t>3.2.1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建设方案评价</w:t>
      </w:r>
      <w:bookmarkEnd w:id="1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规定进行评价，按标准相关要求提出评价结论。已开工项目补报水土保持方案的，可简化工程建设方案与布局评价。涉及标准所列水土保持敏感区的，应说明与本工程位置关系，按标准相关要求提出评价结论。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2" w:name="_Toc699980341"/>
      <w:r>
        <w:rPr>
          <w:rFonts w:hint="eastAsia" w:ascii="仿宋_GB2312" w:hAnsi="仿宋_GB2312" w:eastAsia="仿宋_GB2312" w:cs="仿宋_GB2312"/>
          <w:bCs/>
          <w:kern w:val="0"/>
          <w:sz w:val="24"/>
        </w:rPr>
        <w:t>3.2.2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工程占地评价</w:t>
      </w:r>
      <w:bookmarkEnd w:id="122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规定进行评价，按标准相关要求提出评价结论。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3" w:name="_Toc977306443"/>
      <w:r>
        <w:rPr>
          <w:rFonts w:hint="eastAsia" w:ascii="仿宋_GB2312" w:hAnsi="仿宋_GB2312" w:eastAsia="仿宋_GB2312" w:cs="仿宋_GB2312"/>
          <w:bCs/>
          <w:kern w:val="0"/>
          <w:sz w:val="24"/>
        </w:rPr>
        <w:t>3.2.3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土石方平衡评价</w:t>
      </w:r>
      <w:bookmarkEnd w:id="1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规定进行评价，按标准相关要求提出评价结论。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4" w:name="_Toc1304245337"/>
      <w:r>
        <w:rPr>
          <w:rFonts w:hint="eastAsia" w:ascii="仿宋_GB2312" w:hAnsi="仿宋_GB2312" w:eastAsia="仿宋_GB2312" w:cs="仿宋_GB2312"/>
          <w:bCs/>
          <w:kern w:val="0"/>
          <w:sz w:val="24"/>
        </w:rPr>
        <w:t>3.2.4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取土（石、砂）场设置评价</w:t>
      </w:r>
      <w:bookmarkEnd w:id="1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规定进行评价，按标准相关要求提出评价结论。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5" w:name="_Toc1368063462"/>
      <w:r>
        <w:rPr>
          <w:rFonts w:hint="eastAsia" w:ascii="仿宋_GB2312" w:hAnsi="仿宋_GB2312" w:eastAsia="仿宋_GB2312" w:cs="仿宋_GB2312"/>
          <w:bCs/>
          <w:kern w:val="0"/>
          <w:sz w:val="24"/>
        </w:rPr>
        <w:t>3.2.5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弃土（石、渣、灰、矸石、尾矿）场设置评价</w:t>
      </w:r>
      <w:bookmarkEnd w:id="1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规定进行评价，按标准相关要求提出评价结论。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6" w:name="_Toc704367646"/>
      <w:r>
        <w:rPr>
          <w:rFonts w:hint="eastAsia" w:ascii="仿宋_GB2312" w:hAnsi="仿宋_GB2312" w:eastAsia="仿宋_GB2312" w:cs="仿宋_GB2312"/>
          <w:bCs/>
          <w:kern w:val="0"/>
          <w:sz w:val="24"/>
        </w:rPr>
        <w:t>3.2.6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施工方法与工艺评价</w:t>
      </w:r>
      <w:bookmarkEnd w:id="1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规定进行评价，按标准相关要求提出评价结论。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27" w:name="_Toc1510306593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3.2.7 </w:t>
      </w:r>
      <w:r>
        <w:rPr>
          <w:rFonts w:hint="eastAsia" w:ascii="仿宋_GB2312" w:hAnsi="仿宋_GB2312" w:eastAsia="仿宋_GB2312" w:cs="仿宋_GB2312"/>
          <w:bCs/>
          <w:sz w:val="24"/>
        </w:rPr>
        <w:t>主体工程设计中具有水土保持功能工程的评价</w:t>
      </w:r>
      <w:bookmarkEnd w:id="1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28" w:name="_Toc534594957"/>
      <w:bookmarkStart w:id="129" w:name="_Toc1389630464"/>
      <w:bookmarkStart w:id="130" w:name="_Toc466052745"/>
      <w:bookmarkStart w:id="131" w:name="_Toc943798721"/>
      <w:r>
        <w:rPr>
          <w:rFonts w:hint="eastAsia" w:ascii="仿宋_GB2312" w:hAnsi="仿宋_GB2312" w:eastAsia="仿宋_GB2312" w:cs="仿宋_GB2312"/>
          <w:bCs/>
          <w:kern w:val="0"/>
          <w:sz w:val="24"/>
        </w:rPr>
        <w:t>3.3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主体工程设计中水土保持措施界定</w:t>
      </w:r>
      <w:bookmarkEnd w:id="128"/>
      <w:bookmarkEnd w:id="129"/>
      <w:bookmarkEnd w:id="130"/>
      <w:bookmarkEnd w:id="131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规定，进行主体工程设计中水土保持措施的界定，按标准相关要求提出界定意见。已开工项目补报水土保持方案的，应介绍水土保持措施实施情况。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132" w:name="_Toc531338792"/>
      <w:bookmarkStart w:id="133" w:name="_Toc391435237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 </w:t>
      </w:r>
      <w:r>
        <w:rPr>
          <w:rFonts w:hint="eastAsia" w:ascii="仿宋_GB2312" w:hAnsi="仿宋_GB2312" w:eastAsia="仿宋_GB2312" w:cs="仿宋_GB2312"/>
          <w:bCs/>
          <w:sz w:val="24"/>
        </w:rPr>
        <w:t>水土流失分析与预测</w:t>
      </w:r>
      <w:bookmarkEnd w:id="132"/>
      <w:bookmarkEnd w:id="1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34" w:name="_Toc998340096"/>
      <w:bookmarkStart w:id="135" w:name="_Toc742431313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4.1 </w:t>
      </w:r>
      <w:r>
        <w:rPr>
          <w:rFonts w:hint="eastAsia" w:ascii="仿宋_GB2312" w:hAnsi="仿宋_GB2312" w:eastAsia="仿宋_GB2312" w:cs="仿宋_GB2312"/>
          <w:bCs/>
          <w:sz w:val="24"/>
        </w:rPr>
        <w:t>水土流失现状</w:t>
      </w:r>
      <w:bookmarkEnd w:id="134"/>
      <w:bookmarkEnd w:id="135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应符合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36" w:name="_Toc889753706"/>
      <w:bookmarkStart w:id="137" w:name="_Toc1375439935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4.2 </w:t>
      </w:r>
      <w:r>
        <w:rPr>
          <w:rFonts w:hint="eastAsia" w:ascii="仿宋_GB2312" w:hAnsi="仿宋_GB2312" w:eastAsia="仿宋_GB2312" w:cs="仿宋_GB2312"/>
          <w:bCs/>
          <w:sz w:val="24"/>
        </w:rPr>
        <w:t>水土流失影响因素分析</w:t>
      </w:r>
      <w:bookmarkEnd w:id="136"/>
      <w:bookmarkEnd w:id="1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根据项目区自然条件、工程施工特点，分析工程建设与生产对水土流失的影响。明确建设和生产过程中扰动地表、损毁植被面积，废弃土（石、渣、灰、矸石、尾矿）量。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38" w:name="_Toc766885032"/>
      <w:bookmarkStart w:id="139" w:name="_Toc1941875385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4.3 </w:t>
      </w:r>
      <w:r>
        <w:rPr>
          <w:rFonts w:hint="eastAsia" w:ascii="仿宋_GB2312" w:hAnsi="仿宋_GB2312" w:eastAsia="仿宋_GB2312" w:cs="仿宋_GB2312"/>
          <w:bCs/>
          <w:sz w:val="24"/>
        </w:rPr>
        <w:t>土壤流失量预测</w:t>
      </w:r>
      <w:bookmarkEnd w:id="138"/>
      <w:bookmarkEnd w:id="1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40" w:name="_Toc1713137815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4.3.1 </w:t>
      </w:r>
      <w:r>
        <w:rPr>
          <w:rFonts w:hint="eastAsia" w:ascii="仿宋_GB2312" w:hAnsi="仿宋_GB2312" w:eastAsia="仿宋_GB2312" w:cs="仿宋_GB2312"/>
          <w:bCs/>
          <w:sz w:val="24"/>
        </w:rPr>
        <w:t>预测单元</w:t>
      </w:r>
      <w:bookmarkEnd w:id="1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根据《生产建设项目水土保持技术标准》（GB50433-2018）有关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41" w:name="_Toc258319688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4.3.2 </w:t>
      </w:r>
      <w:r>
        <w:rPr>
          <w:rFonts w:hint="eastAsia" w:ascii="仿宋_GB2312" w:hAnsi="仿宋_GB2312" w:eastAsia="仿宋_GB2312" w:cs="仿宋_GB2312"/>
          <w:bCs/>
          <w:sz w:val="24"/>
        </w:rPr>
        <w:t>预测时段</w:t>
      </w:r>
      <w:bookmarkEnd w:id="14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根据《生产建设项目水土保持技术标准》（GB50433-2018）有关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42" w:name="_Toc231211382"/>
      <w:r>
        <w:rPr>
          <w:rFonts w:hint="eastAsia" w:ascii="仿宋_GB2312" w:hAnsi="仿宋_GB2312" w:eastAsia="仿宋_GB2312" w:cs="仿宋_GB2312"/>
          <w:bCs/>
          <w:kern w:val="0"/>
          <w:sz w:val="24"/>
        </w:rPr>
        <w:t>4.3.3</w:t>
      </w:r>
      <w:r>
        <w:rPr>
          <w:rFonts w:hint="eastAsia" w:ascii="仿宋_GB2312" w:hAnsi="仿宋_GB2312" w:eastAsia="仿宋_GB2312" w:cs="仿宋_GB2312"/>
          <w:bCs/>
          <w:sz w:val="24"/>
        </w:rPr>
        <w:t>土壤侵蚀模数</w:t>
      </w:r>
      <w:bookmarkEnd w:id="14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根据《生产建设项目水土保持技术标准》（GB50433-2018）有关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43" w:name="_Toc1432551465"/>
      <w:r>
        <w:rPr>
          <w:rFonts w:hint="eastAsia" w:ascii="仿宋_GB2312" w:hAnsi="仿宋_GB2312" w:eastAsia="仿宋_GB2312" w:cs="仿宋_GB2312"/>
          <w:bCs/>
          <w:kern w:val="0"/>
          <w:sz w:val="24"/>
        </w:rPr>
        <w:t>4.3.4</w:t>
      </w:r>
      <w:r>
        <w:rPr>
          <w:rFonts w:hint="eastAsia" w:ascii="仿宋_GB2312" w:hAnsi="仿宋_GB2312" w:eastAsia="仿宋_GB2312" w:cs="仿宋_GB2312"/>
          <w:bCs/>
          <w:sz w:val="24"/>
        </w:rPr>
        <w:t>预测结果</w:t>
      </w:r>
      <w:bookmarkEnd w:id="14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根据《生产建设项目水土保持技术标准》（GB50433-2018）有关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规定进行计算，满足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标准</w:t>
      </w:r>
      <w:r>
        <w:rPr>
          <w:rFonts w:hint="eastAsia" w:ascii="仿宋_GB2312" w:hAnsi="仿宋_GB2312" w:eastAsia="仿宋_GB2312" w:cs="仿宋_GB2312"/>
          <w:bCs/>
          <w:sz w:val="24"/>
        </w:rPr>
        <w:t>相关要求。已开工项目补报水土保持方案的，还应对已造成的水土流失量进行调查。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44" w:name="_Toc1689932195"/>
      <w:bookmarkStart w:id="145" w:name="_Toc1052036310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4.4 </w:t>
      </w:r>
      <w:r>
        <w:rPr>
          <w:rFonts w:hint="eastAsia" w:ascii="仿宋_GB2312" w:hAnsi="仿宋_GB2312" w:eastAsia="仿宋_GB2312" w:cs="仿宋_GB2312"/>
          <w:bCs/>
          <w:sz w:val="24"/>
        </w:rPr>
        <w:t>水土流失危害分析</w:t>
      </w:r>
      <w:bookmarkEnd w:id="144"/>
      <w:bookmarkEnd w:id="145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根据《生产建设项目水土保持技术标准》（GB50433-2018）有关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分析</w:t>
      </w:r>
      <w:r>
        <w:rPr>
          <w:rFonts w:hint="eastAsia" w:ascii="仿宋_GB2312" w:hAnsi="仿宋_GB2312" w:eastAsia="仿宋_GB2312" w:cs="仿宋_GB2312"/>
          <w:bCs/>
          <w:sz w:val="24"/>
        </w:rPr>
        <w:t>，满足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标准</w:t>
      </w:r>
      <w:r>
        <w:rPr>
          <w:rFonts w:hint="eastAsia" w:ascii="仿宋_GB2312" w:hAnsi="仿宋_GB2312" w:eastAsia="仿宋_GB2312" w:cs="仿宋_GB2312"/>
          <w:bCs/>
          <w:sz w:val="24"/>
        </w:rPr>
        <w:t>相关要求。已开工项目补报水土保持方案的，还应对已造成水土流失危害进行调查。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46" w:name="_Toc1053863079"/>
      <w:bookmarkStart w:id="147" w:name="_Toc700499199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4.5 </w:t>
      </w:r>
      <w:r>
        <w:rPr>
          <w:rFonts w:hint="eastAsia" w:ascii="仿宋_GB2312" w:hAnsi="仿宋_GB2312" w:eastAsia="仿宋_GB2312" w:cs="仿宋_GB2312"/>
          <w:bCs/>
          <w:sz w:val="24"/>
        </w:rPr>
        <w:t>指导性意见</w:t>
      </w:r>
      <w:bookmarkEnd w:id="146"/>
      <w:bookmarkEnd w:id="147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根据水土流失预测结果，提出水土流失防治和监测的重点区域。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148" w:name="_Toc1793035393"/>
      <w:bookmarkStart w:id="149" w:name="_Toc1351728699"/>
      <w:bookmarkStart w:id="150" w:name="_Toc460835847"/>
      <w:bookmarkStart w:id="151" w:name="_Toc1228142693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5 </w:t>
      </w:r>
      <w:r>
        <w:rPr>
          <w:rFonts w:hint="eastAsia" w:ascii="仿宋_GB2312" w:hAnsi="仿宋_GB2312" w:eastAsia="仿宋_GB2312" w:cs="仿宋_GB2312"/>
          <w:bCs/>
          <w:sz w:val="24"/>
        </w:rPr>
        <w:t>水土保持措施</w:t>
      </w:r>
      <w:bookmarkEnd w:id="148"/>
      <w:bookmarkEnd w:id="149"/>
      <w:bookmarkEnd w:id="150"/>
      <w:bookmarkEnd w:id="15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52" w:name="_Toc8739266"/>
      <w:bookmarkStart w:id="153" w:name="_Toc2055144842"/>
      <w:bookmarkStart w:id="154" w:name="_Toc1528186568"/>
      <w:bookmarkStart w:id="155" w:name="_Toc1335128456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5.1 </w:t>
      </w:r>
      <w:r>
        <w:rPr>
          <w:rFonts w:hint="eastAsia" w:ascii="仿宋_GB2312" w:hAnsi="仿宋_GB2312" w:eastAsia="仿宋_GB2312" w:cs="仿宋_GB2312"/>
          <w:bCs/>
          <w:sz w:val="24"/>
        </w:rPr>
        <w:t>防治区划分</w:t>
      </w:r>
      <w:bookmarkEnd w:id="152"/>
      <w:bookmarkEnd w:id="153"/>
      <w:bookmarkEnd w:id="154"/>
      <w:bookmarkEnd w:id="155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防治区应根据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规定进行划分。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56" w:name="_Toc1081662312"/>
      <w:bookmarkStart w:id="157" w:name="_Toc1875253162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5.2 </w:t>
      </w:r>
      <w:r>
        <w:rPr>
          <w:rFonts w:hint="eastAsia" w:ascii="仿宋_GB2312" w:hAnsi="仿宋_GB2312" w:eastAsia="仿宋_GB2312" w:cs="仿宋_GB2312"/>
          <w:bCs/>
          <w:sz w:val="24"/>
        </w:rPr>
        <w:t>措施总体布局</w:t>
      </w:r>
      <w:bookmarkEnd w:id="156"/>
      <w:bookmarkEnd w:id="1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规定进行，并符合标准相关规定。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58" w:name="_Toc1216032"/>
      <w:bookmarkStart w:id="159" w:name="_Toc1664064866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5.3 </w:t>
      </w:r>
      <w:r>
        <w:rPr>
          <w:rFonts w:hint="eastAsia" w:ascii="仿宋_GB2312" w:hAnsi="仿宋_GB2312" w:eastAsia="仿宋_GB2312" w:cs="仿宋_GB2312"/>
          <w:bCs/>
          <w:sz w:val="24"/>
        </w:rPr>
        <w:t>分区措施布设</w:t>
      </w:r>
      <w:bookmarkEnd w:id="158"/>
      <w:bookmarkEnd w:id="159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规定进行，并符合标准相关规定。已开工项目补报水土保持方案的，需明确已实施的水土保持措施布设情况，已实施的水土保持措施不做典型措施布设，按实际完成工程量计列。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60" w:name="_Toc677640929"/>
      <w:bookmarkStart w:id="161" w:name="_Toc535177606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5.4 </w:t>
      </w:r>
      <w:r>
        <w:rPr>
          <w:rFonts w:hint="eastAsia" w:ascii="仿宋_GB2312" w:hAnsi="仿宋_GB2312" w:eastAsia="仿宋_GB2312" w:cs="仿宋_GB2312"/>
          <w:bCs/>
          <w:sz w:val="24"/>
        </w:rPr>
        <w:t>施工要求</w:t>
      </w:r>
      <w:bookmarkEnd w:id="160"/>
      <w:bookmarkEnd w:id="161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规定进行，并符合标准相关规定。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已开工项目补报水土保持方案的，已实施的水土保持措施不做施工要求。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162" w:name="_Toc970054911"/>
      <w:bookmarkStart w:id="163" w:name="_Toc383116885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6 </w:t>
      </w:r>
      <w:r>
        <w:rPr>
          <w:rFonts w:hint="eastAsia" w:ascii="仿宋_GB2312" w:hAnsi="仿宋_GB2312" w:eastAsia="仿宋_GB2312" w:cs="仿宋_GB2312"/>
          <w:bCs/>
          <w:sz w:val="24"/>
        </w:rPr>
        <w:t>水土保持监测</w:t>
      </w:r>
      <w:bookmarkEnd w:id="162"/>
      <w:bookmarkEnd w:id="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64" w:name="_Toc347035998"/>
      <w:bookmarkStart w:id="165" w:name="_Toc2095359128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6.1 </w:t>
      </w:r>
      <w:r>
        <w:rPr>
          <w:rFonts w:hint="eastAsia" w:ascii="仿宋_GB2312" w:hAnsi="仿宋_GB2312" w:eastAsia="仿宋_GB2312" w:cs="仿宋_GB2312"/>
          <w:bCs/>
          <w:sz w:val="24"/>
        </w:rPr>
        <w:t>范围和时段</w:t>
      </w:r>
      <w:bookmarkEnd w:id="164"/>
      <w:bookmarkEnd w:id="16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66" w:name="_Toc772896"/>
      <w:bookmarkStart w:id="167" w:name="_Toc1578130414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6.2 </w:t>
      </w:r>
      <w:r>
        <w:rPr>
          <w:rFonts w:hint="eastAsia" w:ascii="仿宋_GB2312" w:hAnsi="仿宋_GB2312" w:eastAsia="仿宋_GB2312" w:cs="仿宋_GB2312"/>
          <w:bCs/>
          <w:sz w:val="24"/>
        </w:rPr>
        <w:t>内容和方法</w:t>
      </w:r>
      <w:bookmarkEnd w:id="166"/>
      <w:bookmarkEnd w:id="1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68" w:name="_Toc1113222880"/>
      <w:bookmarkStart w:id="169" w:name="_Toc1570418442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6.3 </w:t>
      </w:r>
      <w:r>
        <w:rPr>
          <w:rFonts w:hint="eastAsia" w:ascii="仿宋_GB2312" w:hAnsi="仿宋_GB2312" w:eastAsia="仿宋_GB2312" w:cs="仿宋_GB2312"/>
          <w:bCs/>
          <w:sz w:val="24"/>
        </w:rPr>
        <w:t>点位布设</w:t>
      </w:r>
      <w:bookmarkEnd w:id="168"/>
      <w:bookmarkEnd w:id="1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70" w:name="_Toc737487788"/>
      <w:bookmarkStart w:id="171" w:name="_Toc500018748"/>
      <w:r>
        <w:rPr>
          <w:rFonts w:hint="eastAsia" w:ascii="仿宋_GB2312" w:hAnsi="仿宋_GB2312" w:eastAsia="仿宋_GB2312" w:cs="仿宋_GB2312"/>
          <w:bCs/>
          <w:sz w:val="24"/>
        </w:rPr>
        <w:t>6.4 实施条件和成果</w:t>
      </w:r>
      <w:bookmarkEnd w:id="170"/>
      <w:bookmarkEnd w:id="171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《生产建设项目水土保持技术标准》（GB50433-2018）有关</w:t>
      </w:r>
      <w:r>
        <w:rPr>
          <w:rFonts w:hint="eastAsia" w:ascii="仿宋_GB2312" w:hAnsi="仿宋_GB2312" w:eastAsia="仿宋_GB2312" w:cs="仿宋_GB2312"/>
          <w:bCs/>
          <w:sz w:val="24"/>
        </w:rPr>
        <w:t>规定编制。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172" w:name="_Toc2112355959"/>
      <w:bookmarkStart w:id="173" w:name="_Toc540700653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7 </w:t>
      </w:r>
      <w:r>
        <w:rPr>
          <w:rFonts w:hint="eastAsia" w:ascii="仿宋_GB2312" w:hAnsi="仿宋_GB2312" w:eastAsia="仿宋_GB2312" w:cs="仿宋_GB2312"/>
          <w:bCs/>
          <w:sz w:val="24"/>
        </w:rPr>
        <w:t>水土保持投资估算及效益分析</w:t>
      </w:r>
      <w:bookmarkEnd w:id="172"/>
      <w:bookmarkEnd w:id="17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74" w:name="_Toc37515895"/>
      <w:bookmarkStart w:id="175" w:name="_Toc370994458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7.1 </w:t>
      </w:r>
      <w:r>
        <w:rPr>
          <w:rFonts w:hint="eastAsia" w:ascii="仿宋_GB2312" w:hAnsi="仿宋_GB2312" w:eastAsia="仿宋_GB2312" w:cs="仿宋_GB2312"/>
          <w:bCs/>
          <w:sz w:val="24"/>
        </w:rPr>
        <w:t>投资估算</w:t>
      </w:r>
      <w:bookmarkEnd w:id="174"/>
      <w:bookmarkEnd w:id="17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76" w:name="_Toc1327941934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7.1.1 </w:t>
      </w:r>
      <w:r>
        <w:rPr>
          <w:rFonts w:hint="eastAsia" w:ascii="仿宋_GB2312" w:hAnsi="仿宋_GB2312" w:eastAsia="仿宋_GB2312" w:cs="仿宋_GB2312"/>
          <w:bCs/>
          <w:sz w:val="24"/>
        </w:rPr>
        <w:t>编制原则及依据</w:t>
      </w:r>
      <w:bookmarkEnd w:id="1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编制原则和依据应符合下列规定：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 水土保持投资估算的价格水平年、人工单价、主要材料价格、施工机械台时费、估算定额、取费项目及费率应与主体工程一致。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 主体工程估算定额中未明确的，应采用水土保持或相关行业的定额、取费项目及费率。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 编制依据应包括生产建设项目水土保持投资定额和估算相关规定、主体工程投资定额估算和相关规定、相关行业投资定额和估算的相关规定。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bCs/>
          <w:sz w:val="24"/>
        </w:rPr>
      </w:pPr>
      <w:bookmarkStart w:id="177" w:name="_Toc386164864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7.1.2 </w:t>
      </w:r>
      <w:r>
        <w:rPr>
          <w:rFonts w:hint="eastAsia" w:ascii="仿宋_GB2312" w:hAnsi="仿宋_GB2312" w:eastAsia="仿宋_GB2312" w:cs="仿宋_GB2312"/>
          <w:bCs/>
          <w:sz w:val="24"/>
        </w:rPr>
        <w:t>编制说明与估算成果</w:t>
      </w:r>
      <w:bookmarkEnd w:id="177"/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1 应按相关规定列出投资估算总表、分区措施投资表（包括工程措施、植物措施、临时措施）、分年度投资估算表、独立费用计算表、水土保持补偿费计算表、工程单价汇总表、施工机械台时费汇总表、主要材料单价汇总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 水土保持投资估算总表应按分区措施费、独立费用、基本预备费和水土保持补偿费计列。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 科研勘测设计费、水土保持监理费参考相关资料根据实际工作量计列。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4 水土保持监测费包括人工费、土建设施费、监测设备使用费和消耗性材料费，参考相关资料，结合实际工作量计列。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报告书后应附工程单价分析表。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已开工项目补报水土保持方案的，对已实施的水土保持措施投资按实际完成计列。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78" w:name="_Toc941515762"/>
      <w:bookmarkStart w:id="179" w:name="_Toc1070974800"/>
      <w:bookmarkStart w:id="180" w:name="_Toc580196575"/>
      <w:bookmarkStart w:id="181" w:name="_Toc181158094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7.2 </w:t>
      </w:r>
      <w:r>
        <w:rPr>
          <w:rFonts w:hint="eastAsia" w:ascii="仿宋_GB2312" w:hAnsi="仿宋_GB2312" w:eastAsia="仿宋_GB2312" w:cs="仿宋_GB2312"/>
          <w:bCs/>
          <w:sz w:val="24"/>
        </w:rPr>
        <w:t>效益分析</w:t>
      </w:r>
      <w:bookmarkEnd w:id="178"/>
      <w:bookmarkEnd w:id="179"/>
      <w:bookmarkEnd w:id="180"/>
      <w:bookmarkEnd w:id="1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效益分析主要指生态效益分析，包括水土保持方案实施后，水土流失影响的控制程度，水土资源保护、恢复和合理利用情况，生态环境保护、恢复和改善情况。应说明水土流失治理面积、林草植被建设面积、可减少水土流失量、渣土挡护量、表土剥离及保护量。分析计算水土流失治理度、土壤流失控制比、渣土防护率、表土保护率、林草植被恢复率、林草覆盖率六项防治指标达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182" w:name="_Toc954199338"/>
      <w:bookmarkStart w:id="183" w:name="_Toc157764729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8 </w:t>
      </w:r>
      <w:r>
        <w:rPr>
          <w:rFonts w:hint="eastAsia" w:ascii="仿宋_GB2312" w:hAnsi="仿宋_GB2312" w:eastAsia="仿宋_GB2312" w:cs="仿宋_GB2312"/>
          <w:bCs/>
          <w:sz w:val="24"/>
        </w:rPr>
        <w:t>水土保持管理</w:t>
      </w:r>
      <w:bookmarkEnd w:id="182"/>
      <w:bookmarkEnd w:id="18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84" w:name="_Toc1134455029"/>
      <w:bookmarkStart w:id="185" w:name="_Toc1690410201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8.1 </w:t>
      </w:r>
      <w:r>
        <w:rPr>
          <w:rFonts w:hint="eastAsia" w:ascii="仿宋_GB2312" w:hAnsi="仿宋_GB2312" w:eastAsia="仿宋_GB2312" w:cs="仿宋_GB2312"/>
          <w:bCs/>
          <w:sz w:val="24"/>
        </w:rPr>
        <w:t>组织管理</w:t>
      </w:r>
      <w:bookmarkEnd w:id="184"/>
      <w:bookmarkEnd w:id="18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明确建设单位水土保持管理机构与人员、管理制度等。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86" w:name="_Toc73877326"/>
      <w:bookmarkStart w:id="187" w:name="_Toc291554614"/>
      <w:bookmarkStart w:id="188" w:name="_Toc669283154"/>
      <w:bookmarkStart w:id="189" w:name="_Toc1220323152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8.2 </w:t>
      </w:r>
      <w:r>
        <w:rPr>
          <w:rFonts w:hint="eastAsia" w:ascii="仿宋_GB2312" w:hAnsi="仿宋_GB2312" w:eastAsia="仿宋_GB2312" w:cs="仿宋_GB2312"/>
          <w:bCs/>
          <w:sz w:val="24"/>
        </w:rPr>
        <w:t>后续设计</w:t>
      </w:r>
      <w:bookmarkEnd w:id="186"/>
      <w:bookmarkEnd w:id="187"/>
      <w:bookmarkEnd w:id="188"/>
      <w:bookmarkEnd w:id="1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明确水土保持初步设计、施工图设计要求。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90" w:name="_Toc1106273504"/>
      <w:bookmarkStart w:id="191" w:name="_Toc1043876380"/>
      <w:bookmarkStart w:id="192" w:name="_Toc862132376"/>
      <w:bookmarkStart w:id="193" w:name="_Toc1035049403"/>
      <w:r>
        <w:rPr>
          <w:rFonts w:hint="eastAsia" w:ascii="仿宋_GB2312" w:hAnsi="仿宋_GB2312" w:eastAsia="仿宋_GB2312" w:cs="仿宋_GB2312"/>
          <w:bCs/>
          <w:sz w:val="24"/>
        </w:rPr>
        <w:t>8.3 水土保持监测</w:t>
      </w:r>
      <w:bookmarkEnd w:id="190"/>
      <w:bookmarkEnd w:id="191"/>
      <w:bookmarkEnd w:id="192"/>
      <w:bookmarkEnd w:id="19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明确落实水土保持监测的要求。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94" w:name="_Toc1864952521"/>
      <w:bookmarkStart w:id="195" w:name="_Toc543658149"/>
      <w:bookmarkStart w:id="196" w:name="_Toc1053233146"/>
      <w:bookmarkStart w:id="197" w:name="_Toc808300252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8.4 </w:t>
      </w:r>
      <w:r>
        <w:rPr>
          <w:rFonts w:hint="eastAsia" w:ascii="仿宋_GB2312" w:hAnsi="仿宋_GB2312" w:eastAsia="仿宋_GB2312" w:cs="仿宋_GB2312"/>
          <w:bCs/>
          <w:sz w:val="24"/>
        </w:rPr>
        <w:t>水土保持监理</w:t>
      </w:r>
      <w:bookmarkEnd w:id="194"/>
      <w:bookmarkEnd w:id="195"/>
      <w:bookmarkEnd w:id="196"/>
      <w:bookmarkEnd w:id="19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明确落实水土保持监理的要求。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198" w:name="_Toc1681185079"/>
      <w:bookmarkStart w:id="199" w:name="_Toc116707903"/>
      <w:bookmarkStart w:id="200" w:name="_Toc453059699"/>
      <w:bookmarkStart w:id="201" w:name="_Toc296628170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8.5 </w:t>
      </w:r>
      <w:r>
        <w:rPr>
          <w:rFonts w:hint="eastAsia" w:ascii="仿宋_GB2312" w:hAnsi="仿宋_GB2312" w:eastAsia="仿宋_GB2312" w:cs="仿宋_GB2312"/>
          <w:bCs/>
          <w:sz w:val="24"/>
        </w:rPr>
        <w:t>水土保持施工</w:t>
      </w:r>
      <w:bookmarkEnd w:id="198"/>
      <w:bookmarkEnd w:id="199"/>
      <w:bookmarkEnd w:id="200"/>
      <w:bookmarkEnd w:id="20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明确落实水土保持施工的要求。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1"/>
        <w:rPr>
          <w:rFonts w:hint="eastAsia" w:ascii="仿宋_GB2312" w:hAnsi="仿宋_GB2312" w:eastAsia="仿宋_GB2312" w:cs="仿宋_GB2312"/>
          <w:bCs/>
          <w:sz w:val="24"/>
        </w:rPr>
      </w:pPr>
      <w:bookmarkStart w:id="202" w:name="_Toc1253567613"/>
      <w:bookmarkStart w:id="203" w:name="_Toc1310139739"/>
      <w:bookmarkStart w:id="204" w:name="_Toc270361122"/>
      <w:bookmarkStart w:id="205" w:name="_Toc328923300"/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8.6 </w:t>
      </w:r>
      <w:r>
        <w:rPr>
          <w:rFonts w:hint="eastAsia" w:ascii="仿宋_GB2312" w:hAnsi="仿宋_GB2312" w:eastAsia="仿宋_GB2312" w:cs="仿宋_GB2312"/>
          <w:bCs/>
          <w:sz w:val="24"/>
        </w:rPr>
        <w:t>水土保持设施验收</w:t>
      </w:r>
      <w:bookmarkEnd w:id="202"/>
      <w:bookmarkEnd w:id="203"/>
      <w:bookmarkEnd w:id="204"/>
      <w:bookmarkEnd w:id="20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明确水土保持设施验收的程序及相关要求，提出工程验收后水土保持管理要求。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206" w:name="_Toc506555831"/>
      <w:bookmarkStart w:id="207" w:name="_Toc2051573242"/>
      <w:r>
        <w:rPr>
          <w:rFonts w:hint="eastAsia" w:ascii="仿宋_GB2312" w:hAnsi="仿宋_GB2312" w:eastAsia="仿宋_GB2312" w:cs="仿宋_GB2312"/>
          <w:bCs/>
          <w:sz w:val="24"/>
        </w:rPr>
        <w:t>附表</w:t>
      </w:r>
      <w:bookmarkEnd w:id="206"/>
      <w:bookmarkEnd w:id="2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 防治责任范围表（涉及县级行政区较多时）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 防治标准指标计算表（分区段标准较多时）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 单价分析表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208" w:name="_Toc711122452"/>
      <w:bookmarkStart w:id="209" w:name="_Toc909141366"/>
      <w:r>
        <w:rPr>
          <w:rFonts w:hint="eastAsia" w:ascii="仿宋_GB2312" w:hAnsi="仿宋_GB2312" w:eastAsia="仿宋_GB2312" w:cs="仿宋_GB2312"/>
          <w:bCs/>
          <w:sz w:val="24"/>
        </w:rPr>
        <w:t>附件</w:t>
      </w:r>
      <w:bookmarkEnd w:id="208"/>
      <w:bookmarkEnd w:id="20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应包括项目立项的有关支撑性文件和其他有关文件。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0"/>
        <w:rPr>
          <w:rFonts w:hint="eastAsia" w:ascii="仿宋_GB2312" w:hAnsi="仿宋_GB2312" w:eastAsia="仿宋_GB2312" w:cs="仿宋_GB2312"/>
          <w:bCs/>
          <w:sz w:val="24"/>
        </w:rPr>
      </w:pPr>
      <w:bookmarkStart w:id="210" w:name="_Toc2020452645"/>
      <w:bookmarkStart w:id="211" w:name="_Toc354298932"/>
      <w:r>
        <w:rPr>
          <w:rFonts w:hint="eastAsia" w:ascii="仿宋_GB2312" w:hAnsi="仿宋_GB2312" w:eastAsia="仿宋_GB2312" w:cs="仿宋_GB2312"/>
          <w:bCs/>
          <w:sz w:val="24"/>
        </w:rPr>
        <w:t>附图</w:t>
      </w:r>
      <w:bookmarkEnd w:id="210"/>
      <w:bookmarkEnd w:id="2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 项目地理位置图应包含行政区划、主要城镇和交通路线；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 项目区水系图应包含主要河流、排灌干渠、水库、湖泊等；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3 项目区土壤侵蚀强度分布图；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4 项目总体布置图应反映项目组成的各项内容，公路、铁路项目尚应有平、纵断面缩图；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5 分区防治措施总体布局图（含监测点位）；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6 水土保持典型措施布设图。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说明：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1 在报告书封面后应附责任页。责任页内应注明批准、核定、审查人员职务及编制人员分工。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2 附图可单独成册。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993933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30"/>
    <w:rsid w:val="00034A54"/>
    <w:rsid w:val="003D4F30"/>
    <w:rsid w:val="00805FB5"/>
    <w:rsid w:val="00AD4250"/>
    <w:rsid w:val="00AE2197"/>
    <w:rsid w:val="5EDE8B57"/>
    <w:rsid w:val="69BFD6EC"/>
    <w:rsid w:val="6FD722C8"/>
    <w:rsid w:val="6FDFDB65"/>
    <w:rsid w:val="6FF96034"/>
    <w:rsid w:val="6FFE3B32"/>
    <w:rsid w:val="73E98BD9"/>
    <w:rsid w:val="7FEB9A01"/>
    <w:rsid w:val="7FFFD5A5"/>
    <w:rsid w:val="8DDFF9AC"/>
    <w:rsid w:val="BFDC049E"/>
    <w:rsid w:val="D78ECB7B"/>
    <w:rsid w:val="E3F32A0E"/>
    <w:rsid w:val="E7DB1F8A"/>
    <w:rsid w:val="EF6A6C99"/>
    <w:rsid w:val="EFEBE4D2"/>
    <w:rsid w:val="F6B78741"/>
    <w:rsid w:val="F6FF569C"/>
    <w:rsid w:val="F7575630"/>
    <w:rsid w:val="F7693B2E"/>
    <w:rsid w:val="F9F7F747"/>
    <w:rsid w:val="FEEE7C96"/>
    <w:rsid w:val="FFA723D0"/>
    <w:rsid w:val="FFD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仿宋_GB2312"/>
      <w:kern w:val="44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  <w:style w:type="character" w:customStyle="1" w:styleId="10">
    <w:name w:val="正文文本缩进 字符"/>
    <w:basedOn w:val="9"/>
    <w:link w:val="3"/>
    <w:qFormat/>
    <w:uiPriority w:val="0"/>
    <w:rPr>
      <w:rFonts w:ascii="仿宋_GB2312" w:hAnsi="Calibri" w:eastAsia="仿宋_GB2312" w:cs="Times New Roman"/>
      <w:sz w:val="30"/>
      <w:szCs w:val="24"/>
    </w:rPr>
  </w:style>
  <w:style w:type="paragraph" w:customStyle="1" w:styleId="11">
    <w:name w:val="表文字居中"/>
    <w:basedOn w:val="1"/>
    <w:qFormat/>
    <w:uiPriority w:val="0"/>
    <w:pPr>
      <w:adjustRightInd w:val="0"/>
      <w:snapToGrid w:val="0"/>
      <w:spacing w:line="400" w:lineRule="exact"/>
      <w:jc w:val="center"/>
    </w:pPr>
    <w:rPr>
      <w:rFonts w:ascii="Arial" w:hAnsi="Arial"/>
      <w:szCs w:val="20"/>
    </w:rPr>
  </w:style>
  <w:style w:type="paragraph" w:customStyle="1" w:styleId="12">
    <w:name w:val="正文文本最新 Char Char Char"/>
    <w:basedOn w:val="1"/>
    <w:qFormat/>
    <w:uiPriority w:val="0"/>
    <w:pPr>
      <w:spacing w:line="360" w:lineRule="auto"/>
      <w:ind w:firstLine="200" w:firstLineChars="200"/>
    </w:pPr>
    <w:rPr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854</Words>
  <Characters>4868</Characters>
  <Lines>40</Lines>
  <Paragraphs>11</Paragraphs>
  <TotalTime>29</TotalTime>
  <ScaleCrop>false</ScaleCrop>
  <LinksUpToDate>false</LinksUpToDate>
  <CharactersWithSpaces>5711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2019-06-01T02:44:00Z</dcterms:created>
  <dc:creator>Yu na</dc:creator>
  <cp:lastModifiedBy>ht-706</cp:lastModifiedBy>
  <dcterms:modified xsi:type="dcterms:W3CDTF">2024-03-19T14:23:37Z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